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HOÀ XÃ HỘI CHỦ NGHĨA VIỆT NAM</w:t>
      </w:r>
    </w:p>
    <w:p>
      <w:pPr>
        <w:jc w:val="center"/>
      </w:pPr>
      <w:r>
        <w:rPr>
          <w:b/>
        </w:rPr>
        <w:t>Độc lập – Tự do – Hạnh phúc</w:t>
      </w:r>
    </w:p>
    <w:p>
      <w:pPr>
        <w:jc w:val="center"/>
      </w:pPr>
      <w:r>
        <w:rPr>
          <w:b/>
          <w:color w:val="1E3A8A"/>
          <w:sz w:val="30"/>
        </w:rPr>
        <w:t>HỢP ĐỒNG CUNG CẤP DỊCH VỤ PHẦN MỀM</w:t>
        <w:br/>
        <w:t>Số: …/20…/HĐDV</w:t>
      </w:r>
    </w:p>
    <w:p>
      <w:r>
        <w:rPr>
          <w:i/>
        </w:rPr>
        <w:t>Mẫu tham khảo do OctaX.vn cung cấp miễn phí. Cần luật sư hoặc pháp chế rà soát trước khi sử dụng.</w:t>
      </w:r>
    </w:p>
    <w:p>
      <w:r>
        <w:t>Căn cứ Bộ luật Dân sự số 91/2015/QH13; Luật Thương mại số 36/2005/QH11 và các văn bản hướng dẫn; nhu cầu và khả năng của hai bên.</w:t>
      </w:r>
    </w:p>
    <w:p>
      <w:r>
        <w:t>Hôm nay, ngày … tháng … năm 20…, tại …, chúng tôi gồm:</w:t>
      </w:r>
    </w:p>
    <w:p>
      <w:r>
        <w:rPr>
          <w:b/>
        </w:rPr>
        <w:t>BÊN A (Bên sử dụng dịch vụ)</w:t>
      </w:r>
    </w:p>
    <w:p>
      <w:pPr>
        <w:pStyle w:val="ListBullet"/>
      </w:pPr>
      <w:r>
        <w:t>Tên đơn vị: …</w:t>
      </w:r>
    </w:p>
    <w:p>
      <w:pPr>
        <w:pStyle w:val="ListBullet"/>
      </w:pPr>
      <w:r>
        <w:t>Địa chỉ: …</w:t>
      </w:r>
    </w:p>
    <w:p>
      <w:pPr>
        <w:pStyle w:val="ListBullet"/>
      </w:pPr>
      <w:r>
        <w:t>Mã số thuế: …</w:t>
      </w:r>
    </w:p>
    <w:p>
      <w:pPr>
        <w:pStyle w:val="ListBullet"/>
      </w:pPr>
      <w:r>
        <w:t>Đại diện: … Chức vụ: …</w:t>
      </w:r>
    </w:p>
    <w:p>
      <w:pPr>
        <w:pStyle w:val="ListBullet"/>
      </w:pPr>
      <w:r>
        <w:t>Tài khoản: … tại Ngân hàng …</w:t>
      </w:r>
    </w:p>
    <w:p>
      <w:r>
        <w:rPr>
          <w:b/>
        </w:rPr>
        <w:t>BÊN B (Bên cung cấp dịch vụ)</w:t>
      </w:r>
    </w:p>
    <w:p>
      <w:pPr>
        <w:pStyle w:val="ListBullet"/>
      </w:pPr>
      <w:r>
        <w:t>Tên đơn vị: …</w:t>
      </w:r>
    </w:p>
    <w:p>
      <w:pPr>
        <w:pStyle w:val="ListBullet"/>
      </w:pPr>
      <w:r>
        <w:t>Địa chỉ: …</w:t>
      </w:r>
    </w:p>
    <w:p>
      <w:pPr>
        <w:pStyle w:val="ListBullet"/>
      </w:pPr>
      <w:r>
        <w:t>Mã số thuế: …</w:t>
      </w:r>
    </w:p>
    <w:p>
      <w:pPr>
        <w:pStyle w:val="ListBullet"/>
      </w:pPr>
      <w:r>
        <w:t>Đại diện: … Chức vụ: …</w:t>
      </w:r>
    </w:p>
    <w:p>
      <w:pPr>
        <w:pStyle w:val="ListBullet"/>
      </w:pPr>
      <w:r>
        <w:t>Tài khoản: … tại Ngân hàng …</w:t>
      </w:r>
    </w:p>
    <w:p>
      <w:r>
        <w:rPr>
          <w:b/>
        </w:rPr>
        <w:t>Điều 1. Nội dung dịch vụ</w:t>
      </w:r>
    </w:p>
    <w:p>
      <w:pPr>
        <w:pStyle w:val="ListBullet"/>
      </w:pPr>
      <w:r>
        <w:t>Bên B cung cấp cho Bên A quyền sử dụng phần mềm … dưới hình thức thuê bao trực tuyến (SaaS).</w:t>
      </w:r>
    </w:p>
    <w:p>
      <w:pPr>
        <w:pStyle w:val="ListBullet"/>
      </w:pPr>
      <w:r>
        <w:t>Gói dịch vụ: …; số người dùng: …; dung lượng lưu trữ: …</w:t>
      </w:r>
    </w:p>
    <w:p>
      <w:r>
        <w:rPr>
          <w:b/>
        </w:rPr>
        <w:t>Điều 2. Thời hạn</w:t>
      </w:r>
    </w:p>
    <w:p>
      <w:pPr>
        <w:pStyle w:val="ListBullet"/>
      </w:pPr>
      <w:r>
        <w:t>Từ ngày … đến ngày …; tự động gia hạn nếu không bên nào thông báo chấm dứt trước 15 ngày.</w:t>
      </w:r>
    </w:p>
    <w:p>
      <w:r>
        <w:rPr>
          <w:b/>
        </w:rPr>
        <w:t>Điều 3. Giá và thanh toán</w:t>
      </w:r>
    </w:p>
    <w:p>
      <w:pPr>
        <w:pStyle w:val="ListBullet"/>
      </w:pPr>
      <w:r>
        <w:t>Phí dịch vụ: … đồng/tháng (chưa gồm thuế GTGT nếu có).</w:t>
      </w:r>
    </w:p>
    <w:p>
      <w:pPr>
        <w:pStyle w:val="ListBullet"/>
      </w:pPr>
      <w:r>
        <w:t>Thuế GTGT: dịch vụ phần mềm thuộc đối tượng không chịu thuế GTGT theo quy định hiện hành; các hạng mục khác (lưu trữ, đào tạo…) áp thuế suất theo quy định tại thời điểm xuất hoá đơn.</w:t>
      </w:r>
    </w:p>
    <w:p>
      <w:pPr>
        <w:pStyle w:val="ListBullet"/>
      </w:pPr>
      <w:r>
        <w:t>Thanh toán bằng chuyển khoản trong … ngày kể từ ngày nhận hoá đơn.</w:t>
      </w:r>
    </w:p>
    <w:p>
      <w:r>
        <w:rPr>
          <w:b/>
        </w:rPr>
        <w:t>Điều 4. Cam kết chất lượng dịch vụ</w:t>
      </w:r>
    </w:p>
    <w:p>
      <w:pPr>
        <w:pStyle w:val="ListBullet"/>
      </w:pPr>
      <w:r>
        <w:t>Thời gian sẵn sàng tối thiểu …%/tháng, trừ thời gian bảo trì đã thông báo trước.</w:t>
      </w:r>
    </w:p>
    <w:p>
      <w:pPr>
        <w:pStyle w:val="ListBullet"/>
      </w:pPr>
      <w:r>
        <w:t>Thời gian phản hồi sự cố: mức nghiêm trọng … giờ; mức thường … giờ làm việc.</w:t>
      </w:r>
    </w:p>
    <w:p>
      <w:r>
        <w:rPr>
          <w:b/>
        </w:rPr>
        <w:t>Điều 5. Dữ liệu và bảo mật</w:t>
      </w:r>
    </w:p>
    <w:p>
      <w:pPr>
        <w:pStyle w:val="ListBullet"/>
      </w:pPr>
      <w:r>
        <w:t>Dữ liệu do Bên A nhập thuộc quyền sở hữu của Bên A.</w:t>
      </w:r>
    </w:p>
    <w:p>
      <w:pPr>
        <w:pStyle w:val="ListBullet"/>
      </w:pPr>
      <w:r>
        <w:t>Bên B bảo vệ dữ liệu cá nhân theo quy định pháp luật hiện hành về bảo vệ dữ liệu cá nhân; không chuyển cho bên thứ ba khi chưa có sự đồng ý, trừ trường hợp luật định.</w:t>
      </w:r>
    </w:p>
    <w:p>
      <w:pPr>
        <w:pStyle w:val="ListBullet"/>
      </w:pPr>
      <w:r>
        <w:t>Khi chấm dứt hợp đồng, Bên B hỗ trợ xuất dữ liệu trong … ngày rồi xoá theo yêu cầu.</w:t>
      </w:r>
    </w:p>
    <w:p>
      <w:r>
        <w:rPr>
          <w:b/>
        </w:rPr>
        <w:t>Điều 6. Quyền và nghĩa vụ của các bên</w:t>
      </w:r>
    </w:p>
    <w:p>
      <w:pPr>
        <w:pStyle w:val="ListBullet"/>
      </w:pPr>
      <w:r>
        <w:t>…</w:t>
      </w:r>
    </w:p>
    <w:p>
      <w:r>
        <w:rPr>
          <w:b/>
        </w:rPr>
        <w:t>Điều 7. Chấm dứt hợp đồng</w:t>
      </w:r>
    </w:p>
    <w:p>
      <w:pPr>
        <w:pStyle w:val="ListBullet"/>
      </w:pPr>
      <w:r>
        <w:t>…</w:t>
      </w:r>
    </w:p>
    <w:p>
      <w:r>
        <w:rPr>
          <w:b/>
        </w:rPr>
        <w:t>Điều 8. Giải quyết tranh chấp</w:t>
      </w:r>
    </w:p>
    <w:p>
      <w:pPr>
        <w:pStyle w:val="ListBullet"/>
      </w:pPr>
      <w:r>
        <w:t>Hai bên thương lượng; không thành thì đưa ra Toà án có thẩm quyền tại …</w:t>
      </w:r>
    </w:p>
    <w:p>
      <w:r>
        <w:rPr>
          <w:b/>
        </w:rPr>
        <w:t>Điều 9. Điều khoản chung</w:t>
      </w:r>
    </w:p>
    <w:p>
      <w:pPr>
        <w:pStyle w:val="ListBullet"/>
      </w:pPr>
      <w:r>
        <w:t>Hợp đồng lập thành 02 bản có giá trị như nhau, mỗi bên giữ 01 bản.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ĐẠI DIỆN BÊN A</w:t>
            </w:r>
          </w:p>
        </w:tc>
        <w:tc>
          <w:tcPr>
            <w:tcW w:type="dxa" w:w="4320"/>
          </w:tcPr>
          <w:p>
            <w:r>
              <w:t>ĐẠI DIỆN BÊN B</w:t>
            </w:r>
          </w:p>
        </w:tc>
      </w:tr>
      <w:tr>
        <w:tc>
          <w:tcPr>
            <w:tcW w:type="dxa" w:w="4320"/>
          </w:tcPr>
          <w:p>
            <w:r>
              <w:t>(Ký, ghi rõ họ tên, đóng dấu)</w:t>
            </w:r>
          </w:p>
        </w:tc>
        <w:tc>
          <w:tcPr>
            <w:tcW w:type="dxa" w:w="4320"/>
          </w:tcPr>
          <w:p>
            <w:r>
              <w:t>(Ký, ghi rõ họ tên, đóng dấu)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